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具象到抽象</w:t>
      </w:r>
    </w:p>
    <w:p>
      <w:r>
        <w:rPr>
          <w:rFonts w:ascii="宋体" w:hAnsi="宋体" w:eastAsia="宋体"/>
          <w:sz w:val="24"/>
        </w:rPr>
        <w:t>刘言祖摄影；金马论序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具象到抽象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刘言祖摄影；金马论序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本书出售、求购地址：https://www.jiaokey.com/book/detail/13356173.html</w:t>
      </w:r>
    </w:p>
    <w:p>
      <w:r>
        <w:t>更多相关图书推荐：https://www.jiaokey.com</w:t>
      </w:r>
    </w:p>
    <w:p>
      <w:r>
        <w:t>刘言祖摄影；金马论序 其他作品：https://www.jiaokey.com/tag/刘言祖摄影；金马论序.html</w:t>
      </w:r>
    </w:p>
    <w:p>
      <w:r>
        <w:t>关键词搜索：https://www.jiaokey.com/tag/具象到抽象.html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