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言文对照详细注解</w:t>
      </w:r>
    </w:p>
    <w:p>
      <w:r>
        <w:rPr>
          <w:rFonts w:ascii="宋体" w:hAnsi="宋体" w:eastAsia="宋体"/>
          <w:sz w:val="24"/>
        </w:rPr>
        <w:t>曹国锋译注；王夭恨校正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言文对照详细注解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曹国锋译注；王夭恨校正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本书出售、求购地址：https://www.jiaokey.com/book/detail/13355543.html</w:t>
      </w:r>
    </w:p>
    <w:p>
      <w:r>
        <w:t>更多相关图书推荐：https://www.jiaokey.com</w:t>
      </w:r>
    </w:p>
    <w:p>
      <w:r>
        <w:t>曹国锋译注；王夭恨校正 其他作品：https://www.jiaokey.com/tag/曹国锋译注；王夭恨校正.html</w:t>
      </w:r>
    </w:p>
    <w:p>
      <w:r>
        <w:t>国学研究社 出版图书：https://www.jiaokey.com/tag/国学研究社.html</w:t>
      </w:r>
    </w:p>
    <w:p>
      <w:r>
        <w:t>关键词搜索：https://www.jiaokey.com/tag/古文观止  言文对照详细注解.html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