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法律基础案例选析</w:t>
      </w:r>
    </w:p>
    <w:p>
      <w:r>
        <w:rPr>
          <w:rFonts w:ascii="宋体" w:hAnsi="宋体" w:eastAsia="宋体"/>
          <w:sz w:val="24"/>
        </w:rPr>
        <w:t>史宇澄，郭建明主编；许翔，王建军，周广桂，姜柏生副主编；王连生，王泽红，王锦凡，孙强等编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法律基础案例选析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史宇澄，郭建明主编；许翔，王建军，周广桂，姜柏生副主编；王连生，王泽红，王锦凡，孙强等编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本书出售、求购地址：https://www.jiaokey.com/book/detail/13354240.html</w:t>
      </w:r>
    </w:p>
    <w:p>
      <w:r>
        <w:t>更多相关图书推荐：https://www.jiaokey.com</w:t>
      </w:r>
    </w:p>
    <w:p>
      <w:r>
        <w:t>史宇澄，郭建明主编；许翔，王建军，周广桂，姜柏生副主编；王连生，王泽红，王锦凡，孙强等编 其他作品：https://www.jiaokey.com/tag/史宇澄，郭建明主编；许翔，王建军，周广桂，姜柏生副主编；王连生，王泽红，王锦凡，孙强等编.html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关键词搜索：https://www.jiaokey.com/tag/法律基础案例选析.html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