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构建运营级LTE网络</w:t>
      </w:r>
    </w:p>
    <w:p>
      <w:r>
        <w:rPr>
          <w:rFonts w:ascii="宋体" w:hAnsi="宋体" w:eastAsia="宋体"/>
          <w:sz w:val="24"/>
        </w:rPr>
        <w:t>孙震强，朱彩勤，毛聪杰等编著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构建运营级LTE网络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孙震强，朱彩勤，毛聪杰等编著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本书出售、求购地址：https://www.jiaokey.com/book/detail/13353448.html</w:t>
      </w:r>
    </w:p>
    <w:p>
      <w:r>
        <w:t>更多相关图书推荐：https://www.jiaokey.com</w:t>
      </w:r>
    </w:p>
    <w:p>
      <w:r>
        <w:t>孙震强，朱彩勤，毛聪杰等编著 其他作品：https://www.jiaokey.com/tag/孙震强，朱彩勤，毛聪杰等编著.html</w:t>
      </w:r>
    </w:p>
    <w:p>
      <w:r>
        <w:t>北京：电子工业 出版图书：https://www.jiaokey.com/tag/北京：电子工业.html</w:t>
      </w:r>
    </w:p>
    <w:p>
      <w:r>
        <w:t>关键词搜索：https://www.jiaokey.com/tag/构建运营级LTE网络.html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