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新合约冲击、股权激励及薪酬差距上市公司总经理薪酬增长的驱动因素与激励效果</w:t>
      </w:r>
    </w:p>
    <w:p>
      <w:r>
        <w:rPr>
          <w:rFonts w:ascii="宋体" w:hAnsi="宋体" w:eastAsia="宋体"/>
          <w:sz w:val="24"/>
        </w:rPr>
        <w:t>巫强著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新合约冲击、股权激励及薪酬差距上市公司总经理薪酬增长的驱动因素与激励效果</w:t>
            </w:r>
          </w:p>
        </w:tc>
      </w:tr>
      <w:tr>
        <w:tc>
          <w:tcPr>
            <w:tcW w:type="dxa" w:w="4320"/>
          </w:tcPr>
          <w:p>
            <w:r>
              <w:t>作者</w:t>
            </w:r>
          </w:p>
        </w:tc>
        <w:tc>
          <w:tcPr>
            <w:tcW w:type="dxa" w:w="4320"/>
          </w:tcPr>
          <w:p>
            <w:r>
              <w:t>巫强著</w:t>
            </w:r>
          </w:p>
        </w:tc>
      </w:tr>
      <w:tr>
        <w:tc>
          <w:tcPr>
            <w:tcW w:type="dxa" w:w="4320"/>
          </w:tcPr>
          <w:p>
            <w:r>
              <w:t>出版社</w:t>
            </w:r>
          </w:p>
        </w:tc>
        <w:tc>
          <w:tcPr>
            <w:tcW w:type="dxa" w:w="4320"/>
          </w:tcPr>
          <w:p>
            <w:r>
              <w:t>北京：光明日报出版社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本书出售、求购地址：https://www.jiaokey.com/book/detail/13351679.html</w:t>
      </w:r>
    </w:p>
    <w:p>
      <w:r>
        <w:t>更多相关图书推荐：https://www.jiaokey.com</w:t>
      </w:r>
    </w:p>
    <w:p>
      <w:r>
        <w:t>巫强著 其他作品：https://www.jiaokey.com/tag/巫强著.html</w:t>
      </w:r>
    </w:p>
    <w:p>
      <w:r>
        <w:t>北京：光明日报出版社 出版图书：https://www.jiaokey.com/tag/北京：光明日报出版社.html</w:t>
      </w:r>
    </w:p>
    <w:p>
      <w:r>
        <w:t>关键词搜索：https://www.jiaokey.com/tag/新合约冲击、股权激励及薪酬差距上市公司总经理薪酬增长的驱动因素与激励效果.html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