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中央银行的挑战  当下的制度环境及影响货币政策的力量</w:t>
      </w:r>
    </w:p>
    <w:p>
      <w:r>
        <w:rPr>
          <w:rFonts w:ascii="宋体" w:hAnsi="宋体" w:eastAsia="宋体"/>
          <w:sz w:val="24"/>
        </w:rPr>
        <w:t>皮埃尔·L·希克洛斯，马丁·T·波尔，马克·E.瓦厄编；宋泓明译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中央银行的挑战  当下的制度环境及影响货币政策的力量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皮埃尔·L·希克洛斯，马丁·T·波尔，马克·E.瓦厄编；宋泓明译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本书出售、求购地址：https://www.jiaokey.com/book/detail/13349729.html</w:t>
      </w:r>
    </w:p>
    <w:p>
      <w:r>
        <w:t>更多相关图书推荐：https://www.jiaokey.com</w:t>
      </w:r>
    </w:p>
    <w:p>
      <w:r>
        <w:t>皮埃尔·L·希克洛斯，马丁·T·波尔，马克·E.瓦厄编；宋泓明译 其他作品：https://www.jiaokey.com/tag/皮埃尔·L·希克洛斯，马丁·T·波尔，马克·E.瓦厄编；宋泓明译.html</w:t>
      </w:r>
    </w:p>
    <w:p>
      <w:r>
        <w:t>关键词搜索：https://www.jiaokey.com/tag/中央银行-研究.html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