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矿物模型剖面展图解</w:t>
      </w:r>
    </w:p>
    <w:p>
      <w:r>
        <w:rPr>
          <w:rFonts w:ascii="宋体" w:hAnsi="宋体" w:eastAsia="宋体"/>
          <w:sz w:val="24"/>
        </w:rPr>
        <w:t>吴振铎编纂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矿物模型剖面展图解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河南教育厅公报处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本书出售、求购地址：https://www.jiaokey.com/book/detail/13347896.html</w:t>
      </w:r>
    </w:p>
    <w:p>
      <w:r>
        <w:t>更多相关图书推荐：https://www.jiaokey.com</w:t>
      </w:r>
    </w:p>
    <w:p>
      <w:r>
        <w:t>吴振铎编纂 其他作品：https://www.jiaokey.com/tag/吴振铎编纂.html</w:t>
      </w:r>
    </w:p>
    <w:p>
      <w:r>
        <w:t>河南教育厅公报处 出版图书：https://www.jiaokey.com/tag/河南教育厅公报处.html</w:t>
      </w:r>
    </w:p>
    <w:p>
      <w:r>
        <w:t>关键词搜索：https://www.jiaokey.com/tag/矿物模型剖面展图解.html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