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  上  满清外来政权如何君临中国</w:t>
      </w:r>
    </w:p>
    <w:p>
      <w:r>
        <w:rPr>
          <w:rFonts w:ascii="宋体" w:hAnsi="宋体" w:eastAsia="宋体"/>
          <w:sz w:val="24"/>
        </w:rPr>
        <w:t>魏斐德（FREDERICWAKEMANJR.）著；陈苏镇等译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  上  满清外来政权如何君临中国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魏斐德（FREDERICWAKEMANJR.）著；陈苏镇等译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本书出售、求购地址：https://www.jiaokey.com/book/detail/13344658.html</w:t>
      </w:r>
    </w:p>
    <w:p>
      <w:r>
        <w:t>更多相关图书推荐：https://www.jiaokey.com</w:t>
      </w:r>
    </w:p>
    <w:p>
      <w:r>
        <w:t>魏斐德（FREDERICWAKEMANJR.）著；陈苏镇等译 其他作品：https://www.jiaokey.com/tag/魏斐德（FREDERICWAKEMANJR.）著；陈苏镇等译.html</w:t>
      </w:r>
    </w:p>
    <w:p>
      <w:r>
        <w:t>时英出版社 出版图书：https://www.jiaokey.com/tag/时英出版社.html</w:t>
      </w:r>
    </w:p>
    <w:p>
      <w:r>
        <w:t>关键词搜索：https://www.jiaokey.com/tag/洪业  上  满清外来政权如何君临中国.html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