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现代饭店管理概论</w:t>
      </w:r>
    </w:p>
    <w:p>
      <w:r>
        <w:rPr>
          <w:rFonts w:ascii="宋体" w:hAnsi="宋体" w:eastAsia="宋体"/>
          <w:sz w:val="24"/>
        </w:rPr>
        <w:t>孟庆杰，王平主编；于水华，姜宁副主编；新世纪应用型高等教育教材编审委员会编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孟庆杰，王平主编；于水华，姜宁副主编；新世纪应用型高等教育教材编审委员会编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本书出售、求购地址：https://www.jiaokey.com/book/detail/13344474.html</w:t>
      </w:r>
    </w:p>
    <w:p>
      <w:r>
        <w:t>更多相关图书推荐：https://www.jiaokey.com</w:t>
      </w:r>
    </w:p>
    <w:p>
      <w:r>
        <w:t>孟庆杰，王平主编；于水华，姜宁副主编；新世纪应用型高等教育教材编审委员会编 其他作品：https://www.jiaokey.com/tag/孟庆杰，王平主编；于水华，姜宁副主编；新世纪应用型高等教育教材编审委员会编.html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