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著作权法执行实务指南</w:t>
      </w:r>
    </w:p>
    <w:p>
      <w:r>
        <w:rPr>
          <w:rFonts w:ascii="宋体" w:hAnsi="宋体" w:eastAsia="宋体"/>
          <w:sz w:val="24"/>
        </w:rPr>
        <w:t>国家版权局管理司编；许超，刘波林，王迁等撰稿；于慈珂审定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著作权法执行实务指南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国家版权局管理司编；许超，刘波林，王迁等撰稿；于慈珂审定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本书出售、求购地址：https://www.jiaokey.com/book/detail/13344441.html</w:t>
      </w:r>
    </w:p>
    <w:p>
      <w:r>
        <w:t>更多相关图书推荐：https://www.jiaokey.com</w:t>
      </w:r>
    </w:p>
    <w:p>
      <w:r>
        <w:t>国家版权局管理司编；许超，刘波林，王迁等撰稿；于慈珂审定 其他作品：https://www.jiaokey.com/tag/国家版权局管理司编；许超，刘波林，王迁等撰稿；于慈珂审定.html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关键词搜索：https://www.jiaokey.com/tag/著作权法执行实务指南.html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