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非经营性国有资产监管与廉洁政府建设</w:t>
      </w:r>
    </w:p>
    <w:p>
      <w:r>
        <w:rPr>
          <w:rFonts w:ascii="宋体" w:hAnsi="宋体" w:eastAsia="宋体"/>
          <w:sz w:val="24"/>
        </w:rPr>
        <w:t>本书课题组著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非经营性国有资产监管与廉洁政府建设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本书出售、求购地址：https://www.jiaokey.com/book/detail/13343971.html</w:t>
      </w:r>
    </w:p>
    <w:p>
      <w:r>
        <w:t>更多相关图书推荐：https://www.jiaokey.com</w:t>
      </w:r>
    </w:p>
    <w:p>
      <w:r>
        <w:t>本书课题组著 其他作品：https://www.jiaokey.com/tag/本书课题组著.html</w:t>
      </w:r>
    </w:p>
    <w:p>
      <w:r>
        <w:t>北京：社会科学文献 出版图书：https://www.jiaokey.com/tag/北京：社会科学文献.html</w:t>
      </w:r>
    </w:p>
    <w:p>
      <w:r>
        <w:t>关键词搜索：https://www.jiaokey.com/tag/非经营性国有资产监管与廉洁政府建设.html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