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书名：国有资产境外投资风险生成机理与治理机制研究</w:t>
      </w:r>
    </w:p>
    <w:p>
      <w:r>
        <w:t>作者：梁媛著</w:t>
      </w:r>
    </w:p>
    <w:p>
      <w:r>
        <w:t>出版社：北京：中国经济出版社</w:t>
      </w:r>
    </w:p>
    <w:p>
      <w:r>
        <w:t>出版日期：2013.06</w:t>
      </w:r>
    </w:p>
    <w:p>
      <w:r>
        <w:t>总页数：206</w:t>
      </w:r>
    </w:p>
    <w:p>
      <w:r>
        <w:t>更多请访问教客网: www.jiaokey.com</w:t>
      </w:r>
    </w:p>
    <w:p>
      <w:r>
        <w:t>国有资产境外投资风险生成机理与治理机制研究 评论地址：https://www.jiaokey.com/book/detail/13343712.html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