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中华人民共和国民事诉讼法配套解读  18  含司法解释</w:t>
      </w:r>
    </w:p>
    <w:p>
      <w:r>
        <w:rPr>
          <w:rFonts w:ascii="宋体" w:hAnsi="宋体" w:eastAsia="宋体"/>
          <w:sz w:val="24"/>
        </w:rPr>
        <w:t>法律出版社法规中心编；单丽雪，邢震，毛淑玲，李林，宁振玲编著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中华人民共和国民事诉讼法配套解读  18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法律出版社法规中心编；单丽雪，邢震，毛淑玲，李林，宁振玲编著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本书出售、求购地址：https://www.jiaokey.com/book/detail/13342762.html</w:t>
      </w:r>
    </w:p>
    <w:p>
      <w:r>
        <w:t>更多相关图书推荐：https://www.jiaokey.com</w:t>
      </w:r>
    </w:p>
    <w:p>
      <w:r>
        <w:t>法律出版社法规中心编；单丽雪，邢震，毛淑玲，李林，宁振玲编著 其他作品：https://www.jiaokey.com/tag/法律出版社法规中心编；单丽雪，邢震，毛淑玲，李林，宁振玲编著.html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关键词搜索：https://www.jiaokey.com/tag/中华人民共和国民事诉讼法配套解读  18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