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最新养羊法</w:t>
      </w:r>
    </w:p>
    <w:p>
      <w:r>
        <w:rPr>
          <w:rFonts w:ascii="宋体" w:hAnsi="宋体" w:eastAsia="宋体"/>
          <w:sz w:val="24"/>
        </w:rPr>
        <w:t>赵璧城编；杨东垣，曹芝清主编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最新养羊法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赵璧城编；杨东垣，曹芝清主编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本书出售、求购地址：https://www.jiaokey.com/book/detail/13342090.html</w:t>
      </w:r>
    </w:p>
    <w:p>
      <w:r>
        <w:t>更多相关图书推荐：https://www.jiaokey.com</w:t>
      </w:r>
    </w:p>
    <w:p>
      <w:r>
        <w:t>赵璧城编；杨东垣，曹芝清主编 其他作品：https://www.jiaokey.com/tag/赵璧城编；杨东垣，曹芝清主编.html</w:t>
      </w:r>
    </w:p>
    <w:p>
      <w:r>
        <w:t>上海南星书店 出版图书：https://www.jiaokey.com/tag/上海南星书店.html</w:t>
      </w:r>
    </w:p>
    <w:p>
      <w:r>
        <w:t>关键词搜索：https://www.jiaokey.com/tag/最新养羊法.html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