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求矿指南</w:t>
      </w:r>
    </w:p>
    <w:p>
      <w:r>
        <w:rPr>
          <w:rFonts w:ascii="宋体" w:hAnsi="宋体" w:eastAsia="宋体"/>
          <w:sz w:val="24"/>
        </w:rPr>
        <w:t>（英）安德孙著；（英）傅兰雅，潘松译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求矿指南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（英）安德孙著；（英）傅兰雅，潘松译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中华新教育社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本书出售、求购地址：https://www.jiaokey.com/book/detail/13339937.html</w:t>
      </w:r>
    </w:p>
    <w:p>
      <w:r>
        <w:t>更多相关图书推荐：https://www.jiaokey.com</w:t>
      </w:r>
    </w:p>
    <w:p>
      <w:r>
        <w:t>（英）安德孙著；（英）傅兰雅，潘松译 其他作品：https://www.jiaokey.com/tag/（英）安德孙著；（英）傅兰雅，潘松译.html</w:t>
      </w:r>
    </w:p>
    <w:p>
      <w:r>
        <w:t>中华新教育社 出版图书：https://www.jiaokey.com/tag/中华新教育社.html</w:t>
      </w:r>
    </w:p>
    <w:p>
      <w:r>
        <w:t>关键词搜索：https://www.jiaokey.com/tag/求矿指南.html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