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病理探源</w:t>
      </w:r>
    </w:p>
    <w:p>
      <w:r>
        <w:rPr>
          <w:rFonts w:ascii="宋体" w:hAnsi="宋体" w:eastAsia="宋体"/>
          <w:sz w:val="24"/>
        </w:rPr>
        <w:t>（美）Councilman原著；胡宣明，而蕴山人译述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（美）Councilman原著；胡宣明，而蕴山人译述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中华卫生教育会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本书出售、求购地址：https://www.jiaokey.com/book/detail/13339892.html</w:t>
      </w:r>
    </w:p>
    <w:p>
      <w:r>
        <w:t>更多相关图书推荐：https://www.jiaokey.com</w:t>
      </w:r>
    </w:p>
    <w:p>
      <w:r>
        <w:t>（美）Councilman原著；胡宣明，而蕴山人译述 其他作品：https://www.jiaokey.com/tag/（美）Councilman原著；胡宣明，而蕴山人译述.html</w:t>
      </w:r>
    </w:p>
    <w:p>
      <w:r>
        <w:t>中华卫生教育会 出版图书：https://www.jiaokey.com/tag/中华卫生教育会.html</w:t>
      </w:r>
    </w:p>
    <w:p>
      <w:r>
        <w:t>关键词搜索：https://www.jiaokey.com/tag/病理探源.html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