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最新典型劳动纠纷判例与疑难解答</w:t>
      </w:r>
    </w:p>
    <w:p>
      <w:r>
        <w:rPr>
          <w:rFonts w:ascii="宋体" w:hAnsi="宋体" w:eastAsia="宋体"/>
          <w:sz w:val="24"/>
        </w:rPr>
        <w:t>亓纪，龙云斌主编；陈晓东，全军，俞里江副主编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最新典型劳动纠纷判例与疑难解答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亓纪，龙云斌主编；陈晓东，全军，俞里江副主编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本书出售、求购地址：https://www.jiaokey.com/book/detail/13338521.html</w:t>
      </w:r>
    </w:p>
    <w:p>
      <w:r>
        <w:t>更多相关图书推荐：https://www.jiaokey.com</w:t>
      </w:r>
    </w:p>
    <w:p>
      <w:r>
        <w:t>亓纪，龙云斌主编；陈晓东，全军，俞里江副主编 其他作品：https://www.jiaokey.com/tag/亓纪，龙云斌主编；陈晓东，全军，俞里江副主编.html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关键词搜索：https://www.jiaokey.com/tag/最新典型劳动纠纷判例与疑难解答.html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