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德国民法基本概念  原书第16版  增订版</w:t>
      </w:r>
    </w:p>
    <w:p>
      <w:r>
        <w:rPr>
          <w:rFonts w:ascii="宋体" w:hAnsi="宋体" w:eastAsia="宋体"/>
          <w:sz w:val="24"/>
        </w:rPr>
        <w:t>（德）哈里·韦斯特曼（HARRYWESTERMANN）著；张定军，葛平亮，唐晓琳译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德国民法基本概念  原书第16版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（德）哈里·韦斯特曼（HARRYWESTERMANN）著；张定军，葛平亮，唐晓琳译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本书出售、求购地址：https://www.jiaokey.com/book/detail/13338488.html</w:t>
      </w:r>
    </w:p>
    <w:p>
      <w:r>
        <w:t>更多相关图书推荐：https://www.jiaokey.com</w:t>
      </w:r>
    </w:p>
    <w:p>
      <w:r>
        <w:t>（德）哈里·韦斯特曼（HARRYWESTERMANN）著；张定军，葛平亮，唐晓琳译 其他作品：https://www.jiaokey.com/tag/（德）哈里·韦斯特曼（HARRYWESTERMANN）著；张定军，葛平亮，唐晓琳译.html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关键词搜索：https://www.jiaokey.com/tag/德国民法基本概念  原书第16版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