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初等几何学</w:t>
      </w:r>
    </w:p>
    <w:p>
      <w:r>
        <w:rPr>
          <w:rFonts w:ascii="宋体" w:hAnsi="宋体" w:eastAsia="宋体"/>
          <w:sz w:val="24"/>
        </w:rPr>
        <w:t>Schultze-Sevenoak-Schuyler原著；马纯德译述；秦汾，程廷熙阅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Schultze-Sevenoak-Schuyler原著；马纯德译述；秦汾，程廷熙阅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本书出售、求购地址：https://www.jiaokey.com/book/detail/13337815.html</w:t>
      </w:r>
    </w:p>
    <w:p>
      <w:r>
        <w:t>更多相关图书推荐：https://www.jiaokey.com</w:t>
      </w:r>
    </w:p>
    <w:p>
      <w:r>
        <w:t>Schultze-Sevenoak-Schuyler原著；马纯德译述；秦汾，程廷熙阅 其他作品：https://www.jiaokey.com/tag/Schultze-Sevenoak-Schuyler原著；马纯德译述；秦汾，程廷熙阅.html</w:t>
      </w:r>
    </w:p>
    <w:p>
      <w:r>
        <w:t>北平文化学社 出版图书：https://www.jiaokey.com/tag/北平文化学社.html</w:t>
      </w:r>
    </w:p>
    <w:p>
      <w:r>
        <w:t>关键词搜索：https://www.jiaokey.com/tag/初等几何学.html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