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第2版</w:t>
      </w:r>
    </w:p>
    <w:p>
      <w:r>
        <w:rPr>
          <w:rFonts w:ascii="宋体" w:hAnsi="宋体" w:eastAsia="宋体"/>
          <w:sz w:val="24"/>
        </w:rPr>
        <w:t>李涛，杨剑波主编；游洪跃，陈良银，李琳等编著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李涛，杨剑波主编；游洪跃，陈良银，李琳等编著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本书出售、求购地址：https://www.jiaokey.com/book/detail/13336866.html</w:t>
      </w:r>
    </w:p>
    <w:p>
      <w:r>
        <w:t>更多相关图书推荐：https://www.jiaokey.com</w:t>
      </w:r>
    </w:p>
    <w:p>
      <w:r>
        <w:t>李涛，杨剑波主编；游洪跃，陈良银，李琳等编著 其他作品：https://www.jiaokey.com/tag/李涛，杨剑波主编；游洪跃，陈良银，李琳等编著.html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关键词搜索：https://www.jiaokey.com/tag/C++面向对象程序设计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