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特别行政区制度与我国基本政治制度研究</w:t>
      </w:r>
    </w:p>
    <w:p>
      <w:r>
        <w:rPr>
          <w:rFonts w:ascii="宋体" w:hAnsi="宋体" w:eastAsia="宋体"/>
          <w:sz w:val="24"/>
        </w:rPr>
        <w:t>黄来纪，杨允中主编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特别行政区制度与我国基本政治制度研究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黄来纪，杨允中主编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本书出售、求购地址：https://www.jiaokey.com/book/detail/13327527.html</w:t>
      </w:r>
    </w:p>
    <w:p>
      <w:r>
        <w:t>更多相关图书推荐：https://www.jiaokey.com</w:t>
      </w:r>
    </w:p>
    <w:p>
      <w:r>
        <w:t>黄来纪，杨允中主编 其他作品：https://www.jiaokey.com/tag/黄来纪，杨允中主编.html</w:t>
      </w:r>
    </w:p>
    <w:p>
      <w:r>
        <w:t>中国民主法制出版社 出版图书：https://www.jiaokey.com/tag/中国民主法制出版社.html</w:t>
      </w:r>
    </w:p>
    <w:p>
      <w:r>
        <w:t>关键词搜索：https://www.jiaokey.com/tag/特别行政区制度与我国基本政治制度研究.html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