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国际劳工运动之现势</w:t>
      </w:r>
    </w:p>
    <w:p>
      <w:r>
        <w:rPr>
          <w:rFonts w:ascii="宋体" w:hAnsi="宋体" w:eastAsia="宋体"/>
          <w:sz w:val="24"/>
        </w:rPr>
        <w:t>日本产业劳动调查所编；佘叔奎译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国际劳工运动之现势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日本产业劳动调查所编；佘叔奎译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本书出售、求购地址：https://www.jiaokey.com/book/detail/13325861.html</w:t>
      </w:r>
    </w:p>
    <w:p>
      <w:r>
        <w:t>更多相关图书推荐：https://www.jiaokey.com</w:t>
      </w:r>
    </w:p>
    <w:p>
      <w:r>
        <w:t>日本产业劳动调查所编；佘叔奎译 其他作品：https://www.jiaokey.com/tag/日本产业劳动调查所编；佘叔奎译.html</w:t>
      </w:r>
    </w:p>
    <w:p>
      <w:r>
        <w:t>太平洋书店 出版图书：https://www.jiaokey.com/tag/太平洋书店.html</w:t>
      </w:r>
    </w:p>
    <w:p>
      <w:r>
        <w:t>关键词搜索：https://www.jiaokey.com/tag/国际劳工运动之现势.html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