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增修历史感应统纪  卷4</w:t>
      </w:r>
    </w:p>
    <w:p>
      <w:r>
        <w:rPr>
          <w:rFonts w:ascii="宋体" w:hAnsi="宋体" w:eastAsia="宋体"/>
          <w:sz w:val="24"/>
        </w:rPr>
        <w:t>彭泽许止净编纂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增修历史感应统纪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彭泽许止净编纂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苏州佛教弘化社；国光印书局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本书出售、求购地址：https://www.jiaokey.com/book/detail/13324715.html</w:t>
      </w:r>
    </w:p>
    <w:p>
      <w:r>
        <w:t>更多相关图书推荐：https://www.jiaokey.com</w:t>
      </w:r>
    </w:p>
    <w:p>
      <w:r>
        <w:t>彭泽许止净编纂 其他作品：https://www.jiaokey.com/tag/彭泽许止净编纂.html</w:t>
      </w:r>
    </w:p>
    <w:p>
      <w:r>
        <w:t>苏州佛教弘化社；国光印书局 出版图书：https://www.jiaokey.com/tag/苏州佛教弘化社；国光印书局.html</w:t>
      </w:r>
    </w:p>
    <w:p>
      <w:r>
        <w:t>关键词搜索：https://www.jiaokey.com/tag/增修历史感应统纪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