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多媒体设计任务驱动教程</w:t>
      </w:r>
    </w:p>
    <w:p>
      <w:r>
        <w:rPr>
          <w:rFonts w:ascii="宋体" w:hAnsi="宋体" w:eastAsia="宋体"/>
          <w:sz w:val="24"/>
        </w:rPr>
        <w:t>杨彦明主编；李艳敏，杨浩，高万春副主编；方平，滕日，张莉参编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多媒体设计任务驱动教程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杨彦明主编；李艳敏，杨浩，高万春副主编；方平，滕日，张莉参编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本书出售、求购地址：https://www.jiaokey.com/book/detail/13322019.html</w:t>
      </w:r>
    </w:p>
    <w:p>
      <w:r>
        <w:t>更多相关图书推荐：https://www.jiaokey.com</w:t>
      </w:r>
    </w:p>
    <w:p>
      <w:r>
        <w:t>杨彦明主编；李艳敏，杨浩，高万春副主编；方平，滕日，张莉参编 其他作品：https://www.jiaokey.com/tag/杨彦明主编；李艳敏，杨浩，高万春副主编；方平，滕日，张莉参编.html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关键词搜索：https://www.jiaokey.com/tag/多媒体设计任务驱动教程.html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