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急性冠状动脉综合征临床对策</w:t>
      </w:r>
    </w:p>
    <w:p>
      <w:r>
        <w:rPr>
          <w:rFonts w:ascii="宋体" w:hAnsi="宋体" w:eastAsia="宋体"/>
          <w:sz w:val="24"/>
        </w:rPr>
        <w:t>杨宝平，包海军主编；徐义先主审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急性冠状动脉综合征临床对策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杨宝平，包海军主编；徐义先主审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本书出售、求购地址：https://www.jiaokey.com/book/detail/13321843.html</w:t>
      </w:r>
    </w:p>
    <w:p>
      <w:r>
        <w:t>更多相关图书推荐：https://www.jiaokey.com</w:t>
      </w:r>
    </w:p>
    <w:p>
      <w:r>
        <w:t>杨宝平，包海军主编；徐义先主审 其他作品：https://www.jiaokey.com/tag/杨宝平，包海军主编；徐义先主审.html</w:t>
      </w:r>
    </w:p>
    <w:p>
      <w:r>
        <w:t>兰州大学出版社 出版图书：https://www.jiaokey.com/tag/兰州大学出版社.html</w:t>
      </w:r>
    </w:p>
    <w:p>
      <w:r>
        <w:t>关键词搜索：https://www.jiaokey.com/tag/急性冠状动脉综合征临床对策.html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