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1919-1949  上</w:t>
      </w:r>
    </w:p>
    <w:p>
      <w:r>
        <w:rPr>
          <w:rFonts w:ascii="宋体" w:hAnsi="宋体" w:eastAsia="宋体"/>
          <w:sz w:val="24"/>
        </w:rPr>
        <w:t>李世平主编；杨光彦，冯之锐副主编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李世平主编；杨光彦，冯之锐副主编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本书出售、求购地址：https://www.jiaokey.com/book/detail/13320532.html</w:t>
      </w:r>
    </w:p>
    <w:p>
      <w:r>
        <w:t>更多相关图书推荐：https://www.jiaokey.com</w:t>
      </w:r>
    </w:p>
    <w:p>
      <w:r>
        <w:t>李世平主编；杨光彦，冯之锐副主编 其他作品：https://www.jiaokey.com/tag/李世平主编；杨光彦，冯之锐副主编.html</w:t>
      </w:r>
    </w:p>
    <w:p>
      <w:r>
        <w:t>重庆：西南大学出版社 出版图书：https://www.jiaokey.com/tag/重庆：西南大学出版社.html</w:t>
      </w:r>
    </w:p>
    <w:p>
      <w:r>
        <w:t>关键词搜索：https://www.jiaokey.com/tag/中国现代史  1919-1949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