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我国“三北”地区盐碱地的改造利用途径</w:t>
      </w:r>
    </w:p>
    <w:p>
      <w:r>
        <w:rPr>
          <w:rFonts w:ascii="宋体" w:hAnsi="宋体" w:eastAsia="宋体"/>
          <w:sz w:val="24"/>
        </w:rPr>
        <w:t>王秀成，蔡德龙著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我国“三北”地区盐碱地的改造利用途径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王秀成，蔡德龙著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河南省科学院地理研究所土壤地理室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本书出售、求购地址：https://www.jiaokey.com/book/detail/13319143.html</w:t>
      </w:r>
    </w:p>
    <w:p>
      <w:r>
        <w:t>更多相关图书推荐：https://www.jiaokey.com</w:t>
      </w:r>
    </w:p>
    <w:p>
      <w:r>
        <w:t>王秀成，蔡德龙著 其他作品：https://www.jiaokey.com/tag/王秀成，蔡德龙著.html</w:t>
      </w:r>
    </w:p>
    <w:p>
      <w:r>
        <w:t>河南省科学院地理研究所土壤地理室 出版图书：https://www.jiaokey.com/tag/河南省科学院地理研究所土壤地理室.html</w:t>
      </w:r>
    </w:p>
    <w:p>
      <w:r>
        <w:t>关键词搜索：https://www.jiaokey.com/tag/我国“三北”地区盐碱地的改造利用途径.html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