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新形势下的金融风险管理  上</w:t>
      </w:r>
    </w:p>
    <w:p>
      <w:r>
        <w:rPr>
          <w:rFonts w:ascii="宋体" w:hAnsi="宋体" w:eastAsia="宋体"/>
          <w:sz w:val="24"/>
        </w:rPr>
        <w:t>徐元铖主编；詹向阳，王贵亚，余龙武，赵蓉，孙伯银副主编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新形势下的金融风险管理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徐元铖主编；詹向阳，王贵亚，余龙武，赵蓉，孙伯银副主编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本书出售、求购地址：https://www.jiaokey.com/book/detail/13318698.html</w:t>
      </w:r>
    </w:p>
    <w:p>
      <w:r>
        <w:t>更多相关图书推荐：https://www.jiaokey.com</w:t>
      </w:r>
    </w:p>
    <w:p>
      <w:r>
        <w:t>徐元铖主编；詹向阳，王贵亚，余龙武，赵蓉，孙伯银副主编 其他作品：https://www.jiaokey.com/tag/徐元铖主编；詹向阳，王贵亚，余龙武，赵蓉，孙伯银副主编.html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关键词搜索：https://www.jiaokey.com/tag/新形势下的金融风险管理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