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网页制作三合一</w:t>
      </w:r>
    </w:p>
    <w:p>
      <w:r>
        <w:rPr>
          <w:rFonts w:ascii="宋体" w:hAnsi="宋体" w:eastAsia="宋体"/>
          <w:sz w:val="24"/>
        </w:rPr>
        <w:t>刘铁英主编；高丽敏，胡雅颖，肖胜刚，刘红娜，张全芳，梁国营参编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刘铁英主编；高丽敏，胡雅颖，肖胜刚，刘红娜，张全芳，梁国营参编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本书出售、求购地址：https://www.jiaokey.com/book/detail/13318490.html</w:t>
      </w:r>
    </w:p>
    <w:p>
      <w:r>
        <w:t>更多相关图书推荐：https://www.jiaokey.com</w:t>
      </w:r>
    </w:p>
    <w:p>
      <w:r>
        <w:t>刘铁英主编；高丽敏，胡雅颖，肖胜刚，刘红娜，张全芳，梁国营参编 其他作品：https://www.jiaokey.com/tag/刘铁英主编；高丽敏，胡雅颖，肖胜刚，刘红娜，张全芳，梁国营参编.html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关键词搜索：https://www.jiaokey.com/tag/网页制作三合一.html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