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海权与1812年战争的关系</w:t>
      </w:r>
    </w:p>
    <w:p>
      <w:r>
        <w:rPr>
          <w:rFonts w:ascii="宋体" w:hAnsi="宋体" w:eastAsia="宋体"/>
          <w:sz w:val="24"/>
        </w:rPr>
        <w:t>（美）马汉著；李少彦等译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海权与1812年战争的关系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（美）马汉著；李少彦等译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本书出售、求购地址：https://www.jiaokey.com/book/detail/13317833.html</w:t>
      </w:r>
    </w:p>
    <w:p>
      <w:r>
        <w:t>更多相关图书推荐：https://www.jiaokey.com</w:t>
      </w:r>
    </w:p>
    <w:p>
      <w:r>
        <w:t>（美）马汉著；李少彦等译 其他作品：https://www.jiaokey.com/tag/（美）马汉著；李少彦等译.html</w:t>
      </w:r>
    </w:p>
    <w:p>
      <w:r>
        <w:t>海洋出版社 出版图书：https://www.jiaokey.com/tag/海洋出版社.html</w:t>
      </w:r>
    </w:p>
    <w:p>
      <w:r>
        <w:t>关键词搜索：https://www.jiaokey.com/tag/海权与1812年战争的关系.html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