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危机的逻辑  冷战后国际热点战略分析</w:t>
      </w:r>
    </w:p>
    <w:p>
      <w:r>
        <w:rPr>
          <w:rFonts w:ascii="宋体" w:hAnsi="宋体" w:eastAsia="宋体"/>
          <w:sz w:val="24"/>
        </w:rPr>
        <w:t>郭伟华主编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危机的逻辑  冷战后国际热点战略分析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本书出售、求购地址：https://www.jiaokey.com/book/detail/13311740.html</w:t>
      </w:r>
    </w:p>
    <w:p>
      <w:r>
        <w:t>更多相关图书推荐：https://www.jiaokey.com</w:t>
      </w:r>
    </w:p>
    <w:p>
      <w:r>
        <w:t>郭伟华主编 其他作品：https://www.jiaokey.com/tag/郭伟华主编.html</w:t>
      </w:r>
    </w:p>
    <w:p>
      <w:r>
        <w:t>关键词搜索：https://www.jiaokey.com/tag/危机的逻辑  冷战后国际热点战略分析.html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