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德国新债法  历史与比较的视角=TNE NEW GERMAN LAW OF OBLIGATIONS HISTORICAL AND COMPARATIVE PERSPECTIVES</w:t>
      </w:r>
    </w:p>
    <w:p>
      <w:r>
        <w:rPr>
          <w:rFonts w:ascii="宋体" w:hAnsi="宋体" w:eastAsia="宋体"/>
          <w:sz w:val="24"/>
        </w:rPr>
        <w:t>（德）莱因哈德·齐默曼著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德国新债法  历史与比较的视角=TNE NEW GERMAN LAW OF OBLIGATIONS HISTORICAL AND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（德）莱因哈德·齐默曼著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本书出售、求购地址：https://www.jiaokey.com/book/detail/13311716.html</w:t>
      </w:r>
    </w:p>
    <w:p>
      <w:r>
        <w:t>更多相关图书推荐：https://www.jiaokey.com</w:t>
      </w:r>
    </w:p>
    <w:p>
      <w:r>
        <w:t>（德）莱因哈德·齐默曼著 其他作品：https://www.jiaokey.com/tag/（德）莱因哈德·齐默曼著.html</w:t>
      </w:r>
    </w:p>
    <w:p>
      <w:r>
        <w:t>关键词搜索：https://www.jiaokey.com/tag/德国新债法  历史与比较的视角=TNE NEW GERMAN LAW OF OBLIGATIONS HISTORICAL AND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