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电子轻音乐的配器常识</w:t>
      </w:r>
    </w:p>
    <w:p>
      <w:r>
        <w:rPr>
          <w:rFonts w:ascii="宋体" w:hAnsi="宋体" w:eastAsia="宋体"/>
          <w:sz w:val="24"/>
        </w:rPr>
        <w:t>方中编写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电子轻音乐的配器常识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中国音乐家协会河南分会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本书出售、求购地址：https://www.jiaokey.com/book/detail/13309768.html</w:t>
      </w:r>
    </w:p>
    <w:p>
      <w:r>
        <w:t>更多相关图书推荐：https://www.jiaokey.com</w:t>
      </w:r>
    </w:p>
    <w:p>
      <w:r>
        <w:t>方中编写 其他作品：https://www.jiaokey.com/tag/方中编写.html</w:t>
      </w:r>
    </w:p>
    <w:p>
      <w:r>
        <w:t>中国音乐家协会河南分会 出版图书：https://www.jiaokey.com/tag/中国音乐家协会河南分会.html</w:t>
      </w:r>
    </w:p>
    <w:p>
      <w:r>
        <w:t>关键词搜索：https://www.jiaokey.com/tag/电子轻音乐的配器常识.html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