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新药申报资料形式审查要点  中药</w:t>
      </w:r>
    </w:p>
    <w:p>
      <w:r>
        <w:rPr>
          <w:rFonts w:ascii="宋体" w:hAnsi="宋体" w:eastAsia="宋体"/>
          <w:sz w:val="24"/>
        </w:rPr>
        <w:t>卫生部药品审评中心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新药申报资料形式审查要点  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卫生部药品审评中心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卫生疗药品审评中心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本书出售、求购地址：https://www.jiaokey.com/book/detail/13308048.html</w:t>
      </w:r>
    </w:p>
    <w:p>
      <w:r>
        <w:t>更多相关图书推荐：https://www.jiaokey.com</w:t>
      </w:r>
    </w:p>
    <w:p>
      <w:r>
        <w:t>卫生部药品审评中心 其他作品：https://www.jiaokey.com/tag/卫生部药品审评中心.html</w:t>
      </w:r>
    </w:p>
    <w:p>
      <w:r>
        <w:t>卫生疗药品审评中心 出版图书：https://www.jiaokey.com/tag/卫生疗药品审评中心.html</w:t>
      </w:r>
    </w:p>
    <w:p>
      <w:r>
        <w:t>关键词搜索：https://www.jiaokey.com/tag/新药申报资料形式审查要点  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