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典型民事案件司法裁判标准  裁判的逻辑</w:t>
      </w:r>
    </w:p>
    <w:p>
      <w:r>
        <w:rPr>
          <w:rFonts w:ascii="宋体" w:hAnsi="宋体" w:eastAsia="宋体"/>
          <w:sz w:val="24"/>
        </w:rPr>
        <w:t>吴庆宝主编；姜启波，禇红军，许先丛等副主编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典型民事案件司法裁判标准  裁判的逻辑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吴庆宝主编；姜启波，禇红军，许先丛等副主编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本书出售、求购地址：https://www.jiaokey.com/book/detail/13307436.html</w:t>
      </w:r>
    </w:p>
    <w:p>
      <w:r>
        <w:t>更多相关图书推荐：https://www.jiaokey.com</w:t>
      </w:r>
    </w:p>
    <w:p>
      <w:r>
        <w:t>吴庆宝主编；姜启波，禇红军，许先丛等副主编 其他作品：https://www.jiaokey.com/tag/吴庆宝主编；姜启波，禇红军，许先丛等副主编.html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关键词搜索：https://www.jiaokey.com/tag/典型民事案件司法裁判标准  裁判的逻辑.html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