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惩罚性赔偿金  普通法与大陆法的视角</w:t>
      </w:r>
    </w:p>
    <w:p>
      <w:r>
        <w:rPr>
          <w:rFonts w:ascii="宋体" w:hAnsi="宋体" w:eastAsia="宋体"/>
          <w:sz w:val="24"/>
        </w:rPr>
        <w:t>（奥）赫尔穆特·考茨欧，（奥）瓦内萨·威尔科克斯本书主编；窦海阳译；李昊丛书主编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惩罚性赔偿金  普通法与大陆法的视角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（奥）赫尔穆特·考茨欧，（奥）瓦内萨·威尔科克斯本书主编；窦海阳译；李昊丛书主编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本书出售、求购地址：https://www.jiaokey.com/book/detail/13307130.html</w:t>
      </w:r>
    </w:p>
    <w:p>
      <w:r>
        <w:t>更多相关图书推荐：https://www.jiaokey.com</w:t>
      </w:r>
    </w:p>
    <w:p>
      <w:r>
        <w:t>（奥）赫尔穆特·考茨欧，（奥）瓦内萨·威尔科克斯本书主编；窦海阳译；李昊丛书主编 其他作品：https://www.jiaokey.com/tag/（奥）赫尔穆特·考茨欧，（奥）瓦内萨·威尔科克斯本书主编；窦海阳译；李昊丛书主编.html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关键词搜索：https://www.jiaokey.com/tag/惩罚性赔偿金  普通法与大陆法的视角.html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