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奔向21世纪：第一生产力与科教兴国</w:t>
      </w:r>
    </w:p>
    <w:p>
      <w:r>
        <w:rPr>
          <w:rFonts w:ascii="宋体" w:hAnsi="宋体" w:eastAsia="宋体"/>
          <w:sz w:val="24"/>
        </w:rPr>
        <w:t>李恕和主编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奔向21世纪：第一生产力与科教兴国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本书出售、求购地址：https://www.jiaokey.com/book/detail/13302930.html</w:t>
      </w:r>
    </w:p>
    <w:p>
      <w:r>
        <w:t>更多相关图书推荐：https://www.jiaokey.com</w:t>
      </w:r>
    </w:p>
    <w:p>
      <w:r>
        <w:t>李恕和主编 其他作品：https://www.jiaokey.com/tag/李恕和主编.html</w:t>
      </w:r>
    </w:p>
    <w:p>
      <w:r>
        <w:t>贵州省科委 出版图书：https://www.jiaokey.com/tag/贵州省科委.html</w:t>
      </w:r>
    </w:p>
    <w:p>
      <w:r>
        <w:t>关键词搜索：https://www.jiaokey.com/tag/奔向21世纪：第一生产力与科教兴国.html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