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亚热带地区.谷物通风</w:t>
      </w:r>
    </w:p>
    <w:p>
      <w:r>
        <w:rPr>
          <w:rFonts w:ascii="宋体" w:hAnsi="宋体" w:eastAsia="宋体"/>
          <w:sz w:val="24"/>
        </w:rPr>
        <w:t>纳瓦罗（Navarro.S.），考尔德伦（Cablepon.M.）著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亚热带地区.谷物通风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纳瓦罗（Navarro.S.），考尔德伦（Cablepon.M.）著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本书出售、求购地址：https://www.jiaokey.com/book/detail/13302763.html</w:t>
      </w:r>
    </w:p>
    <w:p>
      <w:r>
        <w:t>更多相关图书推荐：https://www.jiaokey.com</w:t>
      </w:r>
    </w:p>
    <w:p>
      <w:r>
        <w:t>纳瓦罗（Navarro.S.），考尔德伦（Cablepon.M.）著 其他作品：https://www.jiaokey.com/tag/纳瓦罗（Navarro.S.），考尔德伦（Cablepon.M.）著.html</w:t>
      </w:r>
    </w:p>
    <w:p>
      <w:r>
        <w:t>郑州粮食学院 出版图书：https://www.jiaokey.com/tag/郑州粮食学院.html</w:t>
      </w:r>
    </w:p>
    <w:p>
      <w:r>
        <w:t>关键词搜索：https://www.jiaokey.com/tag/亚热带地区.谷物通风.html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