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嘉靖两淮盐法志</w:t>
      </w:r>
    </w:p>
    <w:p>
      <w:r>
        <w:rPr>
          <w:rFonts w:ascii="宋体" w:hAnsi="宋体" w:eastAsia="宋体"/>
          <w:sz w:val="24"/>
        </w:rPr>
        <w:t>（明）杨选，陈暹修；（明）史起蛰，张榘撰；荀德麟等点校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嘉靖两淮盐法志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（明）杨选，陈暹修；（明）史起蛰，张榘撰；荀德麟等点校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本书出售、求购地址：https://www.jiaokey.com/book/detail/13299265.html</w:t>
      </w:r>
    </w:p>
    <w:p>
      <w:r>
        <w:t>更多相关图书推荐：https://www.jiaokey.com</w:t>
      </w:r>
    </w:p>
    <w:p>
      <w:r>
        <w:t>（明）杨选，陈暹修；（明）史起蛰，张榘撰；荀德麟等点校 其他作品：https://www.jiaokey.com/tag/（明）杨选，陈暹修；（明）史起蛰，张榘撰；荀德麟等点校.html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关键词搜索：https://www.jiaokey.com/tag/嘉靖两淮盐法志.html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