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世界现代史新论</w:t>
      </w:r>
    </w:p>
    <w:p>
      <w:r>
        <w:rPr>
          <w:rFonts w:ascii="宋体" w:hAnsi="宋体" w:eastAsia="宋体"/>
          <w:sz w:val="24"/>
        </w:rPr>
        <w:t>中国世界现代史研究会编；齐世荣学术顾问；李世安，岳蓉，沈永兴，姜桂石，芮信主编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中国世界现代史研究会编；齐世荣学术顾问；李世安，岳蓉，沈永兴，姜桂石，芮信主编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本书出售、求购地址：https://www.jiaokey.com/book/detail/13299140.html</w:t>
      </w:r>
    </w:p>
    <w:p>
      <w:r>
        <w:t>更多相关图书推荐：https://www.jiaokey.com</w:t>
      </w:r>
    </w:p>
    <w:p>
      <w:r>
        <w:t>中国世界现代史研究会编；齐世荣学术顾问；李世安，岳蓉，沈永兴，姜桂石，芮信主编 其他作品：https://www.jiaokey.com/tag/中国世界现代史研究会编；齐世荣学术顾问；李世安，岳蓉，沈永兴，姜桂石，芮信主编.html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关键词搜索：https://www.jiaokey.com/tag/世界现代史新论.html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