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劣化混凝土结构的管理</w:t>
      </w:r>
    </w:p>
    <w:p>
      <w:r>
        <w:rPr>
          <w:rFonts w:ascii="宋体" w:hAnsi="宋体" w:eastAsia="宋体"/>
          <w:sz w:val="24"/>
        </w:rPr>
        <w:t>（英）乔治·萨默维尔著；贡金鑫，何化南译；商怀帅校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劣化混凝土结构的管理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（英）乔治·萨默维尔著；贡金鑫，何化南译；商怀帅校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本书出售、求购地址：https://www.jiaokey.com/book/detail/13297249.html</w:t>
      </w:r>
    </w:p>
    <w:p>
      <w:r>
        <w:t>更多相关图书推荐：https://www.jiaokey.com</w:t>
      </w:r>
    </w:p>
    <w:p>
      <w:r>
        <w:t>（英）乔治·萨默维尔著；贡金鑫，何化南译；商怀帅校 其他作品：https://www.jiaokey.com/tag/（英）乔治·萨默维尔著；贡金鑫，何化南译；商怀帅校.html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关键词搜索：https://www.jiaokey.com/tag/劣化混凝土结构的管理.html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