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德国律师职业规则民事责任</w:t>
      </w:r>
    </w:p>
    <w:p>
      <w:r>
        <w:rPr>
          <w:rFonts w:ascii="宋体" w:hAnsi="宋体" w:eastAsia="宋体"/>
          <w:sz w:val="24"/>
        </w:rPr>
        <w:t>ASTRID STEINDRAUS著；黄耀宗译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德国律师职业规则民事责任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ASTRID STEINDRAUS著；黄耀宗译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财团法人民间司法改革基金会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本书出售、求购地址：https://www.jiaokey.com/book/detail/13296659.html</w:t>
      </w:r>
    </w:p>
    <w:p>
      <w:r>
        <w:t>更多相关图书推荐：https://www.jiaokey.com</w:t>
      </w:r>
    </w:p>
    <w:p>
      <w:r>
        <w:t>ASTRID STEINDRAUS著；黄耀宗译 其他作品：https://www.jiaokey.com/tag/ASTRID STEINDRAUS著；黄耀宗译.html</w:t>
      </w:r>
    </w:p>
    <w:p>
      <w:r>
        <w:t>财团法人民间司法改革基金会 出版图书：https://www.jiaokey.com/tag/财团法人民间司法改革基金会.html</w:t>
      </w:r>
    </w:p>
    <w:p>
      <w:r>
        <w:t>关键词搜索：https://www.jiaokey.com/tag/德国律师职业规则民事责任.html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