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女性主义经典  十八世纪欧洲启蒙，二十世纪本土反思</w:t>
      </w:r>
    </w:p>
    <w:p>
      <w:r>
        <w:rPr>
          <w:rFonts w:ascii="宋体" w:hAnsi="宋体" w:eastAsia="宋体"/>
          <w:sz w:val="24"/>
        </w:rPr>
        <w:t>顾燕翎，郑至慧主编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女性主义经典  十八世纪欧洲启蒙，二十世纪本土反思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顾燕翎，郑至慧主编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女书文化事业有限公司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本书出售、求购地址：https://www.jiaokey.com/book/detail/13296632.html</w:t>
      </w:r>
    </w:p>
    <w:p>
      <w:r>
        <w:t>更多相关图书推荐：https://www.jiaokey.com</w:t>
      </w:r>
    </w:p>
    <w:p>
      <w:r>
        <w:t>顾燕翎，郑至慧主编 其他作品：https://www.jiaokey.com/tag/顾燕翎，郑至慧主编.html</w:t>
      </w:r>
    </w:p>
    <w:p>
      <w:r>
        <w:t>女书文化事业有限公司 出版图书：https://www.jiaokey.com/tag/女书文化事业有限公司.html</w:t>
      </w:r>
    </w:p>
    <w:p>
      <w:r>
        <w:t>关键词搜索：https://www.jiaokey.com/tag/女性主义经典  十八世纪欧洲启蒙，二十世纪本土反思.html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