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河南省综合农业区划分区概述  豫东南平原农业区  讨论稿</w:t>
      </w:r>
    </w:p>
    <w:p>
      <w:r>
        <w:rPr>
          <w:rFonts w:ascii="宋体" w:hAnsi="宋体" w:eastAsia="宋体"/>
          <w:sz w:val="24"/>
        </w:rPr>
        <w:t>林富瑞，卞昌春著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河南省综合农业区划分区概述  豫东南平原农业区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林富瑞，卞昌春著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本书出售、求购地址：https://www.jiaokey.com/book/detail/13294989.html</w:t>
      </w:r>
    </w:p>
    <w:p>
      <w:r>
        <w:t>更多相关图书推荐：https://www.jiaokey.com</w:t>
      </w:r>
    </w:p>
    <w:p>
      <w:r>
        <w:t>林富瑞，卞昌春著 其他作品：https://www.jiaokey.com/tag/林富瑞，卞昌春著.html</w:t>
      </w:r>
    </w:p>
    <w:p>
      <w:r>
        <w:t>中国科学院河南地理研究所 出版图书：https://www.jiaokey.com/tag/中国科学院河南地理研究所.html</w:t>
      </w:r>
    </w:p>
    <w:p>
      <w:r>
        <w:t>关键词搜索：https://www.jiaokey.com/tag/河南省综合农业区划分区概述  豫东南平原农业区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