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3500常用字索查字帖  魏体</w:t>
      </w:r>
    </w:p>
    <w:p>
      <w:r>
        <w:rPr>
          <w:rFonts w:ascii="宋体" w:hAnsi="宋体" w:eastAsia="宋体"/>
          <w:sz w:val="24"/>
        </w:rPr>
        <w:t>周华金撰书；陈白柳选编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3500常用字索查字帖  魏体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周华金撰书；陈白柳选编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本书出售、求购地址：https://www.jiaokey.com/book/detail/13292689.html</w:t>
      </w:r>
    </w:p>
    <w:p>
      <w:r>
        <w:t>更多相关图书推荐：https://www.jiaokey.com</w:t>
      </w:r>
    </w:p>
    <w:p>
      <w:r>
        <w:t>周华金撰书；陈白柳选编 其他作品：https://www.jiaokey.com/tag/周华金撰书；陈白柳选编.html</w:t>
      </w:r>
    </w:p>
    <w:p>
      <w:r>
        <w:t>上海：上海交通大学出版社 出版图书：https://www.jiaokey.com/tag/上海：上海交通大学出版社.html</w:t>
      </w:r>
    </w:p>
    <w:p>
      <w:r>
        <w:t>关键词搜索：https://www.jiaokey.com/tag/3500常用字索查字帖  魏体.html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