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  理论运用发展与个案教学实例</w:t>
      </w:r>
    </w:p>
    <w:p>
      <w:r>
        <w:rPr>
          <w:rFonts w:ascii="宋体" w:hAnsi="宋体" w:eastAsia="宋体"/>
          <w:sz w:val="24"/>
        </w:rPr>
        <w:t>陈水竹，彭康麟，杨宗儒等合著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  理论运用发展与个案教学实例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陈水竹，彭康麟，杨宗儒等合著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全华图书股份有限公司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本书出售、求购地址：https://www.jiaokey.com/book/detail/13291856.html</w:t>
      </w:r>
    </w:p>
    <w:p>
      <w:r>
        <w:t>更多相关图书推荐：https://www.jiaokey.com</w:t>
      </w:r>
    </w:p>
    <w:p>
      <w:r>
        <w:t>陈水竹，彭康麟，杨宗儒等合著 其他作品：https://www.jiaokey.com/tag/陈水竹，彭康麟，杨宗儒等合著.html</w:t>
      </w:r>
    </w:p>
    <w:p>
      <w:r>
        <w:t>全华图书股份有限公司 出版图书：https://www.jiaokey.com/tag/全华图书股份有限公司.html</w:t>
      </w:r>
    </w:p>
    <w:p>
      <w:r>
        <w:t>关键词搜索：https://www.jiaokey.com/tag/管理学  理论运用发展与个案教学实例.html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