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拉美养老金改革  面临的平衡与挑战</w:t>
      </w:r>
    </w:p>
    <w:p>
      <w:r>
        <w:rPr>
          <w:rFonts w:ascii="宋体" w:hAnsi="宋体" w:eastAsia="宋体"/>
          <w:sz w:val="24"/>
        </w:rPr>
        <w:t>（西）埃斯克里瓦，（西）富恩特斯，（西）加西亚-埃雷罗主编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拉美养老金改革  面临的平衡与挑战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（西）埃斯克里瓦，（西）富恩特斯，（西）加西亚-埃雷罗主编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本书出售、求购地址：https://www.jiaokey.com/book/detail/13291545.html</w:t>
      </w:r>
    </w:p>
    <w:p>
      <w:r>
        <w:t>更多相关图书推荐：https://www.jiaokey.com</w:t>
      </w:r>
    </w:p>
    <w:p>
      <w:r>
        <w:t>（西）埃斯克里瓦，（西）富恩特斯，（西）加西亚-埃雷罗主编 其他作品：https://www.jiaokey.com/tag/（西）埃斯克里瓦，（西）富恩特斯，（西）加西亚-埃雷罗主编.html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关键词搜索：https://www.jiaokey.com/tag/拉美养老金改革  面临的平衡与挑战.html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