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南唐二主词校注  阳春集</w:t>
      </w:r>
    </w:p>
    <w:p>
      <w:r>
        <w:rPr>
          <w:rFonts w:ascii="宋体" w:hAnsi="宋体" w:eastAsia="宋体"/>
          <w:sz w:val="24"/>
        </w:rPr>
        <w:t>王次聪，夏瞿禅，（南唐）冯延巳等撰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南唐二主词校注  阳春集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王次聪，夏瞿禅，（南唐）冯延巳等撰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本书出售、求购地址：https://www.jiaokey.com/book/detail/13288271.html</w:t>
      </w:r>
    </w:p>
    <w:p>
      <w:r>
        <w:t>更多相关图书推荐：https://www.jiaokey.com</w:t>
      </w:r>
    </w:p>
    <w:p>
      <w:r>
        <w:t>王次聪，夏瞿禅，（南唐）冯延巳等撰 其他作品：https://www.jiaokey.com/tag/王次聪，夏瞿禅，（南唐）冯延巳等撰.html</w:t>
      </w:r>
    </w:p>
    <w:p>
      <w:r>
        <w:t>世界书局股份有限公司 出版图书：https://www.jiaokey.com/tag/世界书局股份有限公司.html</w:t>
      </w:r>
    </w:p>
    <w:p>
      <w:r>
        <w:t>关键词搜索：https://www.jiaokey.com/tag/南唐二主词校注  阳春集.html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