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汶川特大地震灾后涉法事务的司法应对  四川法院能动司法的探索与实践</w:t>
      </w:r>
    </w:p>
    <w:p>
      <w:r>
        <w:rPr>
          <w:rFonts w:ascii="宋体" w:hAnsi="宋体" w:eastAsia="宋体"/>
          <w:sz w:val="24"/>
        </w:rPr>
        <w:t>王海萍主编；邓修明，陈明国，李世成副主编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汶川特大地震灾后涉法事务的司法应对  四川法院能动司法的探索与实践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王海萍主编；邓修明，陈明国，李世成副主编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本书出售、求购地址：https://www.jiaokey.com/book/detail/13286349.html</w:t>
      </w:r>
    </w:p>
    <w:p>
      <w:r>
        <w:t>更多相关图书推荐：https://www.jiaokey.com</w:t>
      </w:r>
    </w:p>
    <w:p>
      <w:r>
        <w:t>王海萍主编；邓修明，陈明国，李世成副主编 其他作品：https://www.jiaokey.com/tag/王海萍主编；邓修明，陈明国，李世成副主编.html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关键词搜索：https://www.jiaokey.com/tag/汶川特大地震灾后涉法事务的司法应对  四川法院能动司法的探索与实践.html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