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  技术创新  优化资源  信守合同生华彩钢板经营方针</w:t>
      </w:r>
    </w:p>
    <w:p>
      <w:r>
        <w:rPr>
          <w:rFonts w:ascii="宋体" w:hAnsi="宋体" w:eastAsia="宋体"/>
          <w:sz w:val="24"/>
        </w:rPr>
        <w:t>郑州生华彩钢板有限公司编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  技术创新  优化资源  信守合同生华彩钢板经营方针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郑州生华彩钢板有限公司编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本书出售、求购地址：https://www.jiaokey.com/book/detail/13285984.html</w:t>
      </w:r>
    </w:p>
    <w:p>
      <w:r>
        <w:t>更多相关图书推荐：https://www.jiaokey.com</w:t>
      </w:r>
    </w:p>
    <w:p>
      <w:r>
        <w:t>郑州生华彩钢板有限公司编 其他作品：https://www.jiaokey.com/tag/郑州生华彩钢板有限公司编.html</w:t>
      </w:r>
    </w:p>
    <w:p>
      <w:r>
        <w:t>关键词搜索：https://www.jiaokey.com/tag/科学管理  技术创新  优化资源  信守合同生华彩钢板经营方针.html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